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4D77" w14:textId="71D27621" w:rsidR="00E2483F" w:rsidRDefault="00401C3B" w:rsidP="00E2483F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BB5E888" wp14:editId="38D58169">
            <wp:simplePos x="0" y="0"/>
            <wp:positionH relativeFrom="column">
              <wp:posOffset>147955</wp:posOffset>
            </wp:positionH>
            <wp:positionV relativeFrom="paragraph">
              <wp:posOffset>6985</wp:posOffset>
            </wp:positionV>
            <wp:extent cx="759460" cy="997585"/>
            <wp:effectExtent l="0" t="0" r="0" b="0"/>
            <wp:wrapSquare wrapText="bothSides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7CB36" w14:textId="77777777" w:rsidR="00786667" w:rsidRPr="006D0156" w:rsidRDefault="00E00C58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</w:pPr>
      <w:r w:rsidRPr="006D0156"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  <w:t>Urząd Gminy Lesznowola</w:t>
      </w:r>
    </w:p>
    <w:p w14:paraId="029BAF90" w14:textId="77777777" w:rsidR="00E00C58" w:rsidRPr="00E2483F" w:rsidRDefault="00E00C58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</w:pPr>
      <w:r w:rsidRPr="00E2483F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ul. Gminn</w:t>
      </w:r>
      <w:r w:rsidR="00FE3299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a</w:t>
      </w:r>
      <w:r w:rsidRPr="00E2483F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 xml:space="preserve"> 60, 05-506 Lesznowola</w:t>
      </w:r>
    </w:p>
    <w:p w14:paraId="29AACBBB" w14:textId="77777777" w:rsidR="00E2483F" w:rsidRPr="00E2483F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</w:pPr>
      <w:r w:rsidRPr="00E2483F"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>tel. 22 708 91 01, e-mail.: gmina@lesznowola.pl</w:t>
      </w:r>
    </w:p>
    <w:p w14:paraId="1856830E" w14:textId="77777777" w:rsidR="00E2483F" w:rsidRPr="00E2483F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</w:pPr>
      <w:r w:rsidRPr="00E2483F"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>www.lesznowola.pl</w:t>
      </w:r>
    </w:p>
    <w:p w14:paraId="49EE6A74" w14:textId="7D77B5DE" w:rsidR="002C3F17" w:rsidRPr="00E2483F" w:rsidRDefault="00401C3B" w:rsidP="00E2483F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en-US" w:eastAsia="pl-PL"/>
        </w:rPr>
        <w:drawing>
          <wp:inline distT="0" distB="0" distL="0" distR="0" wp14:anchorId="2CA65ED5" wp14:editId="1843D60F">
            <wp:extent cx="5715000" cy="990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6D116" w14:textId="77777777" w:rsidR="002F54F4" w:rsidRPr="00DA61F5" w:rsidRDefault="002F54F4" w:rsidP="002F54F4">
      <w:pPr>
        <w:spacing w:line="360" w:lineRule="auto"/>
        <w:jc w:val="right"/>
        <w:rPr>
          <w:rFonts w:eastAsia="Times New Roman" w:cs="Calibri"/>
          <w:color w:val="000000"/>
          <w:sz w:val="24"/>
          <w:szCs w:val="24"/>
          <w:lang w:val="en-US" w:eastAsia="pl-PL"/>
        </w:rPr>
      </w:pPr>
      <w:proofErr w:type="spellStart"/>
      <w:r w:rsidRPr="00DA61F5">
        <w:rPr>
          <w:rFonts w:eastAsia="Times New Roman" w:cs="Calibri"/>
          <w:color w:val="000000"/>
          <w:sz w:val="24"/>
          <w:szCs w:val="24"/>
          <w:lang w:val="en-US" w:eastAsia="pl-PL"/>
        </w:rPr>
        <w:t>Lesznowola</w:t>
      </w:r>
      <w:proofErr w:type="spellEnd"/>
      <w:r w:rsidRPr="00DA61F5">
        <w:rPr>
          <w:rFonts w:eastAsia="Times New Roman" w:cs="Calibri"/>
          <w:color w:val="000000"/>
          <w:sz w:val="24"/>
          <w:szCs w:val="24"/>
          <w:lang w:val="en-US" w:eastAsia="pl-PL"/>
        </w:rPr>
        <w:t xml:space="preserve">, </w:t>
      </w:r>
      <w:r w:rsidR="00B70A68" w:rsidRPr="00F67FD5">
        <w:rPr>
          <w:rFonts w:eastAsia="Times New Roman" w:cs="Calibri"/>
          <w:color w:val="000000"/>
          <w:sz w:val="24"/>
          <w:szCs w:val="24"/>
          <w:lang w:val="en-US" w:eastAsia="pl-PL"/>
        </w:rPr>
        <w:t>30</w:t>
      </w:r>
      <w:r w:rsidRPr="00DA61F5">
        <w:rPr>
          <w:rFonts w:eastAsia="Times New Roman" w:cs="Calibri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DA61F5">
        <w:rPr>
          <w:rFonts w:eastAsia="Times New Roman" w:cs="Calibri"/>
          <w:color w:val="000000"/>
          <w:sz w:val="24"/>
          <w:szCs w:val="24"/>
          <w:lang w:val="en-US" w:eastAsia="pl-PL"/>
        </w:rPr>
        <w:t>stycznia</w:t>
      </w:r>
      <w:proofErr w:type="spellEnd"/>
      <w:r w:rsidRPr="00DA61F5">
        <w:rPr>
          <w:rFonts w:eastAsia="Times New Roman" w:cs="Calibri"/>
          <w:color w:val="000000"/>
          <w:sz w:val="24"/>
          <w:szCs w:val="24"/>
          <w:lang w:val="en-US" w:eastAsia="pl-PL"/>
        </w:rPr>
        <w:t xml:space="preserve"> 2026 r.</w:t>
      </w:r>
    </w:p>
    <w:p w14:paraId="1B4016E1" w14:textId="77777777" w:rsidR="002F54F4" w:rsidRPr="00DA61F5" w:rsidRDefault="002F54F4" w:rsidP="002F54F4">
      <w:pPr>
        <w:spacing w:line="360" w:lineRule="auto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04BA8012" w14:textId="77777777" w:rsidR="002F54F4" w:rsidRPr="00DA61F5" w:rsidRDefault="002F54F4" w:rsidP="002F54F4">
      <w:pPr>
        <w:spacing w:line="360" w:lineRule="auto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B70A68">
        <w:rPr>
          <w:rFonts w:eastAsia="Times New Roman" w:cs="Calibri"/>
          <w:b/>
          <w:color w:val="000000"/>
          <w:sz w:val="24"/>
          <w:szCs w:val="24"/>
          <w:lang w:eastAsia="pl-PL"/>
        </w:rPr>
        <w:t>ROK.0003.</w:t>
      </w:r>
      <w:r w:rsidR="00B70A68" w:rsidRPr="00B70A68">
        <w:rPr>
          <w:rFonts w:eastAsia="Times New Roman" w:cs="Calibri"/>
          <w:b/>
          <w:color w:val="000000"/>
          <w:sz w:val="24"/>
          <w:szCs w:val="24"/>
          <w:lang w:eastAsia="pl-PL"/>
        </w:rPr>
        <w:t>1.2.2026.ŁG</w:t>
      </w:r>
    </w:p>
    <w:p w14:paraId="01CFED36" w14:textId="77777777" w:rsidR="002F54F4" w:rsidRPr="00DA61F5" w:rsidRDefault="002F54F4" w:rsidP="002F54F4">
      <w:pPr>
        <w:spacing w:line="360" w:lineRule="auto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20CBECB6" w14:textId="77777777" w:rsidR="002F54F4" w:rsidRPr="00DA61F5" w:rsidRDefault="002F54F4" w:rsidP="002F54F4">
      <w:pPr>
        <w:spacing w:line="360" w:lineRule="auto"/>
        <w:ind w:left="637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DA61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Izabela </w:t>
      </w:r>
      <w:proofErr w:type="spellStart"/>
      <w:r w:rsidRPr="00DA61F5">
        <w:rPr>
          <w:rFonts w:eastAsia="Times New Roman" w:cs="Calibri"/>
          <w:b/>
          <w:color w:val="000000"/>
          <w:sz w:val="24"/>
          <w:szCs w:val="24"/>
          <w:lang w:eastAsia="pl-PL"/>
        </w:rPr>
        <w:t>Ignacak</w:t>
      </w:r>
      <w:proofErr w:type="spellEnd"/>
    </w:p>
    <w:p w14:paraId="4A44CF85" w14:textId="77777777" w:rsidR="002F54F4" w:rsidRPr="00DA61F5" w:rsidRDefault="002F54F4" w:rsidP="002F54F4">
      <w:pPr>
        <w:spacing w:line="360" w:lineRule="auto"/>
        <w:ind w:left="637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4CDA0425" w14:textId="77777777" w:rsidR="002F54F4" w:rsidRPr="00DA61F5" w:rsidRDefault="002F54F4" w:rsidP="002F54F4">
      <w:pPr>
        <w:spacing w:line="360" w:lineRule="auto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62DDEFAF" w14:textId="054FBD3B" w:rsidR="00AC5323" w:rsidRDefault="002F54F4" w:rsidP="009E7F80">
      <w:pPr>
        <w:spacing w:line="360" w:lineRule="auto"/>
        <w:ind w:firstLine="708"/>
        <w:jc w:val="both"/>
        <w:rPr>
          <w:rFonts w:eastAsia="Times New Roman" w:cs="Calibri"/>
          <w:bCs/>
          <w:color w:val="000000"/>
          <w:sz w:val="24"/>
          <w:szCs w:val="24"/>
          <w:lang w:eastAsia="pl-PL"/>
        </w:rPr>
      </w:pPr>
      <w:r w:rsidRPr="00DA61F5">
        <w:rPr>
          <w:rFonts w:cs="Calibri"/>
          <w:sz w:val="24"/>
          <w:szCs w:val="24"/>
        </w:rPr>
        <w:t xml:space="preserve">W odpowiedzi na wniosek z dnia 16 stycznia 2026 r. </w:t>
      </w:r>
      <w:r w:rsidR="00FC4ABE" w:rsidRPr="001274B5"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złożony w trybie art. 24 ust. </w:t>
      </w:r>
      <w:r w:rsidR="00FF46AA">
        <w:rPr>
          <w:rFonts w:eastAsia="Times New Roman" w:cs="Calibri"/>
          <w:bCs/>
          <w:color w:val="000000"/>
          <w:sz w:val="24"/>
          <w:szCs w:val="24"/>
          <w:lang w:eastAsia="pl-PL"/>
        </w:rPr>
        <w:br/>
      </w:r>
      <w:r w:rsidR="00FC4ABE" w:rsidRPr="001274B5">
        <w:rPr>
          <w:rFonts w:eastAsia="Times New Roman" w:cs="Calibri"/>
          <w:bCs/>
          <w:color w:val="000000"/>
          <w:sz w:val="24"/>
          <w:szCs w:val="24"/>
          <w:lang w:eastAsia="pl-PL"/>
        </w:rPr>
        <w:t>5 ustawy o samorządzie gminnym z dnia 8 marca 1990 r. (</w:t>
      </w:r>
      <w:r w:rsidR="00FC4ABE"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t. j. </w:t>
      </w:r>
      <w:r w:rsidR="00FC4ABE" w:rsidRPr="001274B5">
        <w:rPr>
          <w:rFonts w:eastAsia="Times New Roman" w:cs="Calibri"/>
          <w:bCs/>
          <w:color w:val="000000"/>
          <w:sz w:val="24"/>
          <w:szCs w:val="24"/>
          <w:lang w:eastAsia="pl-PL"/>
        </w:rPr>
        <w:t>Dz. U. 202</w:t>
      </w:r>
      <w:r w:rsidR="00FC4ABE"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5 poz. </w:t>
      </w:r>
      <w:r w:rsidR="00FC4ABE" w:rsidRPr="001274B5">
        <w:rPr>
          <w:rFonts w:eastAsia="Times New Roman" w:cs="Calibri"/>
          <w:bCs/>
          <w:color w:val="000000"/>
          <w:sz w:val="24"/>
          <w:szCs w:val="24"/>
          <w:lang w:eastAsia="pl-PL"/>
        </w:rPr>
        <w:t>1</w:t>
      </w:r>
      <w:r w:rsidR="00FC4ABE">
        <w:rPr>
          <w:rFonts w:eastAsia="Times New Roman" w:cs="Calibri"/>
          <w:bCs/>
          <w:color w:val="000000"/>
          <w:sz w:val="24"/>
          <w:szCs w:val="24"/>
          <w:lang w:eastAsia="pl-PL"/>
        </w:rPr>
        <w:t>153</w:t>
      </w:r>
      <w:r w:rsidR="00FC4ABE" w:rsidRPr="001274B5">
        <w:rPr>
          <w:rFonts w:eastAsia="Times New Roman" w:cs="Calibri"/>
          <w:bCs/>
          <w:color w:val="000000"/>
          <w:sz w:val="24"/>
          <w:szCs w:val="24"/>
          <w:lang w:eastAsia="pl-PL"/>
        </w:rPr>
        <w:t>) w sprawie</w:t>
      </w:r>
      <w:r w:rsidR="00FC4ABE"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 „problemów z organizacją odbioru odpadów komunalnych na terenie gminy Lesznowola oraz prośby o przedstawienie szczegółowych wyjaśnień i działań naprawczych”</w:t>
      </w:r>
      <w:r w:rsidR="00FC4ABE" w:rsidRPr="00BE0E91">
        <w:rPr>
          <w:rFonts w:eastAsia="Times New Roman" w:cs="Calibri"/>
          <w:bCs/>
          <w:color w:val="000000"/>
          <w:sz w:val="24"/>
          <w:szCs w:val="24"/>
          <w:lang w:eastAsia="pl-PL"/>
        </w:rPr>
        <w:t>, przesyłam odpowiedź.</w:t>
      </w:r>
    </w:p>
    <w:p w14:paraId="7AD6D5CA" w14:textId="77777777" w:rsidR="009E7F80" w:rsidRPr="00FC4ABE" w:rsidRDefault="009E7F80" w:rsidP="009E7F80">
      <w:pPr>
        <w:spacing w:line="360" w:lineRule="auto"/>
        <w:ind w:firstLine="708"/>
        <w:jc w:val="both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7740EA28" w14:textId="23C891CE" w:rsidR="002F54F4" w:rsidRPr="006E1781" w:rsidRDefault="00F71A69" w:rsidP="009E7F80">
      <w:pPr>
        <w:pStyle w:val="Akapitzlist"/>
        <w:numPr>
          <w:ilvl w:val="0"/>
          <w:numId w:val="4"/>
        </w:numPr>
        <w:spacing w:line="36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celu zapewnienia odbioru odpadów komunalnych Gmina zawarła umowę z firmą PUK Piaseczno na okres 3 miesięcy, do czasu rozstrzygnięcia postępowania przetargowego. Natomiast </w:t>
      </w:r>
      <w:r w:rsidR="00445950">
        <w:rPr>
          <w:rFonts w:cs="Calibri"/>
          <w:sz w:val="24"/>
          <w:szCs w:val="24"/>
        </w:rPr>
        <w:t>trudne jest odniesienie się do dalszej części pytania</w:t>
      </w:r>
      <w:r w:rsidR="008F0F4D">
        <w:rPr>
          <w:rFonts w:cs="Calibri"/>
          <w:sz w:val="24"/>
          <w:szCs w:val="24"/>
        </w:rPr>
        <w:t>:</w:t>
      </w:r>
      <w:r w:rsidR="0044595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„zmiana operatora spowodowała zaleganie odpadów”</w:t>
      </w:r>
      <w:r w:rsidR="00445950">
        <w:rPr>
          <w:rFonts w:cs="Calibri"/>
          <w:sz w:val="24"/>
          <w:szCs w:val="24"/>
        </w:rPr>
        <w:t xml:space="preserve">. Gdyby występował taki związek przyczynowo – skutkowy, to każda zmiana operatora powodowałaby zaleganie odpadów, </w:t>
      </w:r>
      <w:r w:rsidR="00411143">
        <w:rPr>
          <w:rFonts w:cs="Calibri"/>
          <w:sz w:val="24"/>
          <w:szCs w:val="24"/>
        </w:rPr>
        <w:t>co</w:t>
      </w:r>
      <w:r w:rsidR="00445950">
        <w:rPr>
          <w:rFonts w:cs="Calibri"/>
          <w:sz w:val="24"/>
          <w:szCs w:val="24"/>
        </w:rPr>
        <w:t xml:space="preserve"> nie jest to prawdą, gdyż zmiany operatorów są zjawiskiem powszechnym, biorąc pod uwagę ilość gmin i przetargów w Polsce. </w:t>
      </w:r>
    </w:p>
    <w:p w14:paraId="1063FBB7" w14:textId="77777777" w:rsidR="002F54F4" w:rsidRPr="00F715EE" w:rsidRDefault="002F54F4" w:rsidP="009E7F80">
      <w:pPr>
        <w:pStyle w:val="Akapitzlist"/>
        <w:numPr>
          <w:ilvl w:val="0"/>
          <w:numId w:val="4"/>
        </w:numPr>
        <w:spacing w:line="360" w:lineRule="auto"/>
        <w:contextualSpacing/>
        <w:jc w:val="both"/>
        <w:rPr>
          <w:rFonts w:cs="Calibri"/>
          <w:sz w:val="24"/>
          <w:szCs w:val="24"/>
        </w:rPr>
      </w:pPr>
      <w:r w:rsidRPr="00F715EE">
        <w:rPr>
          <w:rFonts w:cs="Calibri"/>
          <w:sz w:val="24"/>
          <w:szCs w:val="24"/>
        </w:rPr>
        <w:t xml:space="preserve">Wykonywane zadanie jest monitorowane </w:t>
      </w:r>
      <w:r w:rsidR="00562EC4" w:rsidRPr="00F715EE">
        <w:rPr>
          <w:rFonts w:cs="Calibri"/>
          <w:sz w:val="24"/>
          <w:szCs w:val="24"/>
        </w:rPr>
        <w:t>przez</w:t>
      </w:r>
      <w:r w:rsidRPr="00F715EE">
        <w:rPr>
          <w:rFonts w:cs="Calibri"/>
          <w:sz w:val="24"/>
          <w:szCs w:val="24"/>
        </w:rPr>
        <w:t xml:space="preserve"> podgląd przejechanej trasy każdego</w:t>
      </w:r>
      <w:r w:rsidRPr="00DA61F5">
        <w:rPr>
          <w:rFonts w:cs="Calibri"/>
          <w:sz w:val="24"/>
          <w:szCs w:val="24"/>
        </w:rPr>
        <w:t xml:space="preserve"> pojazdu</w:t>
      </w:r>
      <w:r w:rsidR="00DA61F5">
        <w:rPr>
          <w:rFonts w:cs="Calibri"/>
          <w:sz w:val="24"/>
          <w:szCs w:val="24"/>
        </w:rPr>
        <w:t xml:space="preserve"> za pośrednictwem</w:t>
      </w:r>
      <w:r w:rsidRPr="00DA61F5">
        <w:rPr>
          <w:rFonts w:cs="Calibri"/>
          <w:sz w:val="24"/>
          <w:szCs w:val="24"/>
        </w:rPr>
        <w:t xml:space="preserve"> urządzeń GPS oraz kamer zamontowanych w pojazdach Wykonawcy. Kontrola wykonywanego zadania</w:t>
      </w:r>
      <w:r w:rsidR="00DA61F5">
        <w:rPr>
          <w:rFonts w:cs="Calibri"/>
          <w:sz w:val="24"/>
          <w:szCs w:val="24"/>
        </w:rPr>
        <w:t xml:space="preserve"> oraz ewentualne uwagi</w:t>
      </w:r>
      <w:r w:rsidRPr="00DA61F5">
        <w:rPr>
          <w:rFonts w:cs="Calibri"/>
          <w:sz w:val="24"/>
          <w:szCs w:val="24"/>
        </w:rPr>
        <w:t xml:space="preserve"> </w:t>
      </w:r>
      <w:r w:rsidR="00DA61F5">
        <w:rPr>
          <w:rFonts w:cs="Calibri"/>
          <w:sz w:val="24"/>
          <w:szCs w:val="24"/>
        </w:rPr>
        <w:t>zgłaszane są</w:t>
      </w:r>
      <w:r w:rsidRPr="00DA61F5">
        <w:rPr>
          <w:rFonts w:cs="Calibri"/>
          <w:sz w:val="24"/>
          <w:szCs w:val="24"/>
        </w:rPr>
        <w:t xml:space="preserve"> </w:t>
      </w:r>
      <w:r w:rsidRPr="00F715EE">
        <w:rPr>
          <w:rFonts w:cs="Calibri"/>
          <w:sz w:val="24"/>
          <w:szCs w:val="24"/>
        </w:rPr>
        <w:t xml:space="preserve">również telefonicznie oraz za pośrednictwem poczty elektronicznej. </w:t>
      </w:r>
      <w:r w:rsidR="00F715EE" w:rsidRPr="00F715EE">
        <w:rPr>
          <w:rFonts w:cs="Calibri"/>
          <w:sz w:val="24"/>
          <w:szCs w:val="24"/>
        </w:rPr>
        <w:t xml:space="preserve">Na początku lutego </w:t>
      </w:r>
      <w:r w:rsidRPr="00F715EE">
        <w:rPr>
          <w:rFonts w:cs="Calibri"/>
          <w:sz w:val="24"/>
          <w:szCs w:val="24"/>
        </w:rPr>
        <w:t>zostanie ogłoszone postępowanie przetargowe w celu wyłonienia nowego Wykonawcy, który będzie realizował zadanie od 1 kwietnia 2026 r.</w:t>
      </w:r>
    </w:p>
    <w:p w14:paraId="66BC66A2" w14:textId="03B10495" w:rsidR="002F54F4" w:rsidRPr="00AD02F4" w:rsidRDefault="002F54F4" w:rsidP="009E7F80">
      <w:pPr>
        <w:pStyle w:val="Akapitzlist"/>
        <w:numPr>
          <w:ilvl w:val="0"/>
          <w:numId w:val="4"/>
        </w:numPr>
        <w:spacing w:line="360" w:lineRule="auto"/>
        <w:contextualSpacing/>
        <w:jc w:val="both"/>
        <w:rPr>
          <w:rFonts w:cs="Calibri"/>
          <w:sz w:val="24"/>
          <w:szCs w:val="24"/>
        </w:rPr>
      </w:pPr>
      <w:bookmarkStart w:id="0" w:name="_Hlk220481417"/>
      <w:r w:rsidRPr="00AD02F4">
        <w:rPr>
          <w:rFonts w:cs="Calibri"/>
          <w:sz w:val="24"/>
          <w:szCs w:val="24"/>
        </w:rPr>
        <w:t xml:space="preserve">Do dnia </w:t>
      </w:r>
      <w:r w:rsidR="00DF1969" w:rsidRPr="00AD02F4">
        <w:rPr>
          <w:rFonts w:cs="Calibri"/>
          <w:sz w:val="24"/>
          <w:szCs w:val="24"/>
        </w:rPr>
        <w:t>26 stycznia</w:t>
      </w:r>
      <w:r w:rsidRPr="00AD02F4">
        <w:rPr>
          <w:rFonts w:cs="Calibri"/>
          <w:sz w:val="24"/>
          <w:szCs w:val="24"/>
        </w:rPr>
        <w:t xml:space="preserve"> łącznie wpłynęł</w:t>
      </w:r>
      <w:r w:rsidR="00B56881">
        <w:rPr>
          <w:rFonts w:cs="Calibri"/>
          <w:sz w:val="24"/>
          <w:szCs w:val="24"/>
        </w:rPr>
        <w:t>y</w:t>
      </w:r>
      <w:r w:rsidRPr="00AD02F4">
        <w:rPr>
          <w:rFonts w:cs="Calibri"/>
          <w:sz w:val="24"/>
          <w:szCs w:val="24"/>
        </w:rPr>
        <w:t xml:space="preserve"> </w:t>
      </w:r>
      <w:r w:rsidR="00B56881">
        <w:rPr>
          <w:rFonts w:cs="Calibri"/>
          <w:sz w:val="24"/>
          <w:szCs w:val="24"/>
        </w:rPr>
        <w:t>224</w:t>
      </w:r>
      <w:r w:rsidRPr="00AD02F4">
        <w:rPr>
          <w:rFonts w:cs="Calibri"/>
          <w:sz w:val="24"/>
          <w:szCs w:val="24"/>
        </w:rPr>
        <w:t xml:space="preserve"> zgłosze</w:t>
      </w:r>
      <w:r w:rsidR="00B56881">
        <w:rPr>
          <w:rFonts w:cs="Calibri"/>
          <w:sz w:val="24"/>
          <w:szCs w:val="24"/>
        </w:rPr>
        <w:t>nia</w:t>
      </w:r>
      <w:r w:rsidRPr="00AD02F4">
        <w:rPr>
          <w:rFonts w:cs="Calibri"/>
          <w:sz w:val="24"/>
          <w:szCs w:val="24"/>
        </w:rPr>
        <w:t xml:space="preserve">. </w:t>
      </w:r>
      <w:bookmarkStart w:id="1" w:name="_Hlk220484704"/>
      <w:bookmarkEnd w:id="0"/>
      <w:r w:rsidRPr="00AD02F4">
        <w:rPr>
          <w:rFonts w:cs="Calibri"/>
          <w:sz w:val="24"/>
          <w:szCs w:val="24"/>
        </w:rPr>
        <w:t>Najczęściej powtarzające się zgłoszenia dotyczą zabudowy wielorodzinnej</w:t>
      </w:r>
      <w:bookmarkEnd w:id="1"/>
      <w:r w:rsidR="00B362ED" w:rsidRPr="00AD02F4">
        <w:rPr>
          <w:rFonts w:cs="Calibri"/>
          <w:sz w:val="24"/>
          <w:szCs w:val="24"/>
        </w:rPr>
        <w:t xml:space="preserve">. </w:t>
      </w:r>
      <w:r w:rsidR="006915C0" w:rsidRPr="00AD02F4">
        <w:rPr>
          <w:rFonts w:cs="Calibri"/>
          <w:sz w:val="24"/>
          <w:szCs w:val="24"/>
        </w:rPr>
        <w:t>Zauważy</w:t>
      </w:r>
      <w:r w:rsidR="00445950">
        <w:rPr>
          <w:rFonts w:cs="Calibri"/>
          <w:sz w:val="24"/>
          <w:szCs w:val="24"/>
        </w:rPr>
        <w:t>ć</w:t>
      </w:r>
      <w:r w:rsidR="006915C0" w:rsidRPr="00AD02F4">
        <w:rPr>
          <w:rFonts w:cs="Calibri"/>
          <w:sz w:val="24"/>
          <w:szCs w:val="24"/>
        </w:rPr>
        <w:t xml:space="preserve"> należy, iż l</w:t>
      </w:r>
      <w:r w:rsidR="00B362ED" w:rsidRPr="00AD02F4">
        <w:rPr>
          <w:rFonts w:cs="Calibri"/>
          <w:sz w:val="24"/>
          <w:szCs w:val="24"/>
        </w:rPr>
        <w:t xml:space="preserve">iczba zgłoszeń mogła </w:t>
      </w:r>
      <w:r w:rsidR="006915C0" w:rsidRPr="00AD02F4">
        <w:rPr>
          <w:rFonts w:cs="Calibri"/>
          <w:sz w:val="24"/>
          <w:szCs w:val="24"/>
        </w:rPr>
        <w:t>zostać</w:t>
      </w:r>
      <w:r w:rsidR="00B362ED" w:rsidRPr="00AD02F4">
        <w:rPr>
          <w:rFonts w:cs="Calibri"/>
          <w:sz w:val="24"/>
          <w:szCs w:val="24"/>
        </w:rPr>
        <w:t xml:space="preserve"> zawyżona, gdyż kilku mieszkańców zgłaszała ten sam adres.</w:t>
      </w:r>
    </w:p>
    <w:p w14:paraId="64BA35CF" w14:textId="6B6054F4" w:rsidR="002F54F4" w:rsidRPr="00AD02F4" w:rsidRDefault="00445950" w:rsidP="009E7F80">
      <w:pPr>
        <w:pStyle w:val="Akapitzlist"/>
        <w:numPr>
          <w:ilvl w:val="0"/>
          <w:numId w:val="4"/>
        </w:numPr>
        <w:spacing w:line="36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 końca 2025 r. zostały naliczone 2 kary umowne wobec operatora </w:t>
      </w:r>
      <w:proofErr w:type="spellStart"/>
      <w:r>
        <w:rPr>
          <w:rFonts w:cs="Calibri"/>
          <w:sz w:val="24"/>
          <w:szCs w:val="24"/>
        </w:rPr>
        <w:t>Jarper</w:t>
      </w:r>
      <w:proofErr w:type="spellEnd"/>
      <w:r>
        <w:rPr>
          <w:rFonts w:cs="Calibri"/>
          <w:sz w:val="24"/>
          <w:szCs w:val="24"/>
        </w:rPr>
        <w:t xml:space="preserve"> sp. z o.o.</w:t>
      </w:r>
      <w:r w:rsidR="00B4618B">
        <w:rPr>
          <w:rFonts w:cs="Calibri"/>
          <w:sz w:val="24"/>
          <w:szCs w:val="24"/>
        </w:rPr>
        <w:t xml:space="preserve">, w wysokości </w:t>
      </w:r>
      <w:r w:rsidR="00FF46AA">
        <w:rPr>
          <w:rFonts w:cs="Calibri"/>
          <w:sz w:val="24"/>
          <w:szCs w:val="24"/>
        </w:rPr>
        <w:t>41 000 zł</w:t>
      </w:r>
      <w:r w:rsidR="00B4618B">
        <w:rPr>
          <w:rFonts w:cs="Calibri"/>
          <w:sz w:val="24"/>
          <w:szCs w:val="24"/>
        </w:rPr>
        <w:t xml:space="preserve"> i </w:t>
      </w:r>
      <w:r w:rsidR="00FF46AA">
        <w:rPr>
          <w:rFonts w:cs="Calibri"/>
          <w:sz w:val="24"/>
          <w:szCs w:val="24"/>
        </w:rPr>
        <w:t>354 500 zł</w:t>
      </w:r>
      <w:r w:rsidR="00B4618B">
        <w:rPr>
          <w:rFonts w:cs="Calibri"/>
          <w:sz w:val="24"/>
          <w:szCs w:val="24"/>
        </w:rPr>
        <w:t xml:space="preserve">, w związku z nieterminowym odbiorem odpadów </w:t>
      </w:r>
      <w:r w:rsidR="00B4618B">
        <w:rPr>
          <w:rFonts w:cs="Calibri"/>
          <w:sz w:val="24"/>
          <w:szCs w:val="24"/>
        </w:rPr>
        <w:lastRenderedPageBreak/>
        <w:t>komunalnych. Od początku 2026 r. trwa weryfikacja informacji uzyskanych od mieszkańców oraz administratorów wspólnot mieszkaniowych, dla określenia skali opóźnień w odbiorze odpadów</w:t>
      </w:r>
      <w:r w:rsidR="0003291D">
        <w:rPr>
          <w:rFonts w:cs="Calibri"/>
          <w:sz w:val="24"/>
          <w:szCs w:val="24"/>
        </w:rPr>
        <w:t>.</w:t>
      </w:r>
    </w:p>
    <w:p w14:paraId="56AF21B0" w14:textId="30F10B56" w:rsidR="00C82446" w:rsidRPr="00AD02F4" w:rsidRDefault="00366AA1" w:rsidP="009E7F80">
      <w:pPr>
        <w:pStyle w:val="Akapitzlist"/>
        <w:numPr>
          <w:ilvl w:val="0"/>
          <w:numId w:val="4"/>
        </w:numPr>
        <w:spacing w:line="360" w:lineRule="auto"/>
        <w:contextualSpacing/>
        <w:jc w:val="both"/>
        <w:rPr>
          <w:rFonts w:cs="Calibri"/>
          <w:sz w:val="24"/>
          <w:szCs w:val="24"/>
        </w:rPr>
      </w:pPr>
      <w:r w:rsidRPr="00AD02F4">
        <w:rPr>
          <w:rFonts w:cs="Calibri"/>
          <w:sz w:val="24"/>
          <w:szCs w:val="24"/>
        </w:rPr>
        <w:t xml:space="preserve">Gmina analizowała koszty odbioru </w:t>
      </w:r>
      <w:r w:rsidR="00FF28BD" w:rsidRPr="00AD02F4">
        <w:rPr>
          <w:rFonts w:cs="Calibri"/>
          <w:sz w:val="24"/>
          <w:szCs w:val="24"/>
        </w:rPr>
        <w:t xml:space="preserve">odpadów </w:t>
      </w:r>
      <w:r w:rsidRPr="00AD02F4">
        <w:rPr>
          <w:rFonts w:cs="Calibri"/>
          <w:sz w:val="24"/>
          <w:szCs w:val="24"/>
        </w:rPr>
        <w:t xml:space="preserve">na okoliczność otwarcia ofert </w:t>
      </w:r>
      <w:r w:rsidR="00FF46AA">
        <w:rPr>
          <w:rFonts w:cs="Calibri"/>
          <w:sz w:val="24"/>
          <w:szCs w:val="24"/>
        </w:rPr>
        <w:br/>
      </w:r>
      <w:r w:rsidRPr="00AD02F4">
        <w:rPr>
          <w:rFonts w:cs="Calibri"/>
          <w:sz w:val="24"/>
          <w:szCs w:val="24"/>
        </w:rPr>
        <w:t>w postępowaniu przetargowym. Wnioski wskazywały na konieczność dofinansowania</w:t>
      </w:r>
      <w:r w:rsidR="006E0A63">
        <w:rPr>
          <w:rFonts w:cs="Calibri"/>
          <w:sz w:val="24"/>
          <w:szCs w:val="24"/>
        </w:rPr>
        <w:t xml:space="preserve"> z budżetu Gminy</w:t>
      </w:r>
      <w:r w:rsidRPr="00AD02F4">
        <w:rPr>
          <w:rFonts w:cs="Calibri"/>
          <w:sz w:val="24"/>
          <w:szCs w:val="24"/>
        </w:rPr>
        <w:t xml:space="preserve"> kwotą </w:t>
      </w:r>
      <w:r w:rsidR="00B4618B">
        <w:rPr>
          <w:rFonts w:cs="Calibri"/>
          <w:sz w:val="24"/>
          <w:szCs w:val="24"/>
        </w:rPr>
        <w:t>ponad</w:t>
      </w:r>
      <w:r w:rsidRPr="00AD02F4">
        <w:rPr>
          <w:rFonts w:cs="Calibri"/>
          <w:sz w:val="24"/>
          <w:szCs w:val="24"/>
        </w:rPr>
        <w:t xml:space="preserve"> 5</w:t>
      </w:r>
      <w:r w:rsidR="006E0A63">
        <w:rPr>
          <w:rFonts w:cs="Calibri"/>
          <w:sz w:val="24"/>
          <w:szCs w:val="24"/>
        </w:rPr>
        <w:t xml:space="preserve"> </w:t>
      </w:r>
      <w:r w:rsidRPr="00AD02F4">
        <w:rPr>
          <w:rFonts w:cs="Calibri"/>
          <w:sz w:val="24"/>
          <w:szCs w:val="24"/>
        </w:rPr>
        <w:t>m</w:t>
      </w:r>
      <w:r w:rsidR="006E0A63">
        <w:rPr>
          <w:rFonts w:cs="Calibri"/>
          <w:sz w:val="24"/>
          <w:szCs w:val="24"/>
        </w:rPr>
        <w:t>ilionów</w:t>
      </w:r>
      <w:r w:rsidRPr="00AD02F4">
        <w:rPr>
          <w:rFonts w:cs="Calibri"/>
          <w:sz w:val="24"/>
          <w:szCs w:val="24"/>
        </w:rPr>
        <w:t xml:space="preserve"> </w:t>
      </w:r>
      <w:r w:rsidR="00FF28BD" w:rsidRPr="00AD02F4">
        <w:rPr>
          <w:rFonts w:cs="Calibri"/>
          <w:sz w:val="24"/>
          <w:szCs w:val="24"/>
        </w:rPr>
        <w:t>z</w:t>
      </w:r>
      <w:r w:rsidRPr="00AD02F4">
        <w:rPr>
          <w:rFonts w:cs="Calibri"/>
          <w:sz w:val="24"/>
          <w:szCs w:val="24"/>
        </w:rPr>
        <w:t>ł</w:t>
      </w:r>
      <w:r w:rsidR="00FF28BD" w:rsidRPr="00AD02F4">
        <w:rPr>
          <w:rFonts w:cs="Calibri"/>
          <w:sz w:val="24"/>
          <w:szCs w:val="24"/>
        </w:rPr>
        <w:t xml:space="preserve"> systemu</w:t>
      </w:r>
      <w:r w:rsidRPr="00AD02F4">
        <w:rPr>
          <w:rFonts w:cs="Calibri"/>
          <w:sz w:val="24"/>
          <w:szCs w:val="24"/>
        </w:rPr>
        <w:t xml:space="preserve"> gospodarki odpadami komunalnymi lub wzrostem opłat za </w:t>
      </w:r>
      <w:r w:rsidR="00FF28BD" w:rsidRPr="00AD02F4">
        <w:rPr>
          <w:rFonts w:cs="Calibri"/>
          <w:sz w:val="24"/>
          <w:szCs w:val="24"/>
        </w:rPr>
        <w:t xml:space="preserve">ich </w:t>
      </w:r>
      <w:r w:rsidRPr="00AD02F4">
        <w:rPr>
          <w:rFonts w:cs="Calibri"/>
          <w:sz w:val="24"/>
          <w:szCs w:val="24"/>
        </w:rPr>
        <w:t xml:space="preserve">odbiór. Rozwiązaniem była zmiana operatora w celu weryfikacji przekazywanych przez ówczesnego Wykonawcę danych dotyczących ilości </w:t>
      </w:r>
      <w:proofErr w:type="spellStart"/>
      <w:r w:rsidRPr="00AD02F4">
        <w:rPr>
          <w:rFonts w:cs="Calibri"/>
          <w:sz w:val="24"/>
          <w:szCs w:val="24"/>
        </w:rPr>
        <w:t>dopadów</w:t>
      </w:r>
      <w:proofErr w:type="spellEnd"/>
      <w:r w:rsidRPr="00AD02F4">
        <w:rPr>
          <w:rFonts w:cs="Calibri"/>
          <w:sz w:val="24"/>
          <w:szCs w:val="24"/>
        </w:rPr>
        <w:t>, ich pochodzenia oraz ewentualnych możliwości uszczelnienia systemu. Natomiast nie zlecono analizy ryzyka w zakresie zmiany operatora, gdyż są one powszechnie znane i w omawianym przypadku nie było konieczności zlecenia gminie dodatkowego kosztownego opracowania</w:t>
      </w:r>
      <w:r w:rsidR="00B4618B">
        <w:rPr>
          <w:rFonts w:cs="Calibri"/>
          <w:sz w:val="24"/>
          <w:szCs w:val="24"/>
        </w:rPr>
        <w:t>, zwłaszcza, że zmiany operatorów są zjawiskiem stałym i powszechnym.</w:t>
      </w:r>
    </w:p>
    <w:p w14:paraId="17AC2E76" w14:textId="09280CF2" w:rsidR="00C82446" w:rsidRPr="000E28C0" w:rsidRDefault="00C82446" w:rsidP="009E7F80">
      <w:pPr>
        <w:pStyle w:val="Akapitzlist"/>
        <w:numPr>
          <w:ilvl w:val="0"/>
          <w:numId w:val="4"/>
        </w:numPr>
        <w:spacing w:line="360" w:lineRule="auto"/>
        <w:contextualSpacing/>
        <w:jc w:val="both"/>
        <w:rPr>
          <w:rFonts w:cs="Calibri"/>
          <w:sz w:val="24"/>
          <w:szCs w:val="24"/>
        </w:rPr>
      </w:pPr>
      <w:r w:rsidRPr="00AD02F4">
        <w:rPr>
          <w:rFonts w:cs="Calibri"/>
          <w:sz w:val="24"/>
          <w:szCs w:val="24"/>
        </w:rPr>
        <w:t>Działalność jednostek samorządu terytorialnego regulują przepisy oraz ogłoszone rozporządzenia wykonawcze. Przekazywa</w:t>
      </w:r>
      <w:r w:rsidR="000E28C0" w:rsidRPr="00AD02F4">
        <w:rPr>
          <w:rFonts w:cs="Calibri"/>
          <w:sz w:val="24"/>
          <w:szCs w:val="24"/>
        </w:rPr>
        <w:t>niem</w:t>
      </w:r>
      <w:r w:rsidRPr="00AD02F4">
        <w:rPr>
          <w:rFonts w:cs="Calibri"/>
          <w:sz w:val="24"/>
          <w:szCs w:val="24"/>
        </w:rPr>
        <w:t xml:space="preserve"> odbior</w:t>
      </w:r>
      <w:r w:rsidR="000E28C0" w:rsidRPr="00AD02F4">
        <w:rPr>
          <w:rFonts w:cs="Calibri"/>
          <w:sz w:val="24"/>
          <w:szCs w:val="24"/>
        </w:rPr>
        <w:t>ów</w:t>
      </w:r>
      <w:r w:rsidRPr="00AD02F4">
        <w:rPr>
          <w:rFonts w:cs="Calibri"/>
          <w:sz w:val="24"/>
          <w:szCs w:val="24"/>
        </w:rPr>
        <w:t xml:space="preserve"> sieci uzbrojenia terenu</w:t>
      </w:r>
      <w:r w:rsidRPr="000E28C0">
        <w:rPr>
          <w:rFonts w:cs="Calibri"/>
          <w:sz w:val="24"/>
          <w:szCs w:val="24"/>
        </w:rPr>
        <w:t xml:space="preserve"> </w:t>
      </w:r>
      <w:r w:rsidR="00FF28BD">
        <w:rPr>
          <w:rFonts w:cs="Calibri"/>
          <w:sz w:val="24"/>
          <w:szCs w:val="24"/>
        </w:rPr>
        <w:t>po</w:t>
      </w:r>
      <w:r w:rsidRPr="000E28C0">
        <w:rPr>
          <w:rFonts w:cs="Calibri"/>
          <w:sz w:val="24"/>
          <w:szCs w:val="24"/>
        </w:rPr>
        <w:t>przez środki trwałe</w:t>
      </w:r>
      <w:r w:rsidR="00FF28BD">
        <w:rPr>
          <w:rFonts w:cs="Calibri"/>
          <w:sz w:val="24"/>
          <w:szCs w:val="24"/>
        </w:rPr>
        <w:t>,</w:t>
      </w:r>
      <w:r w:rsidRPr="000E28C0">
        <w:rPr>
          <w:rFonts w:cs="Calibri"/>
          <w:sz w:val="24"/>
          <w:szCs w:val="24"/>
        </w:rPr>
        <w:t xml:space="preserve"> kończąc na kluczach, pilotach do wiat i altan dobywa się każdorazowo protokolarnie. Protokoły zdawczo – odbiorcze przekazywane są zawsze przez obie strony, gdyż stanowią materiał dowodowy w postępowaniach administracyjnych, wyjaśniających lub karnych. Reasumując, gmina jako jednostka samorządu terytorialnego nie może kierować się dowolnością działań w omawianym przypadku. Urzędnik ma obowiązek sporządzenia protokołu z czynności przekazania kluczy</w:t>
      </w:r>
      <w:r w:rsidR="00FF28BD">
        <w:rPr>
          <w:rFonts w:cs="Calibri"/>
          <w:sz w:val="24"/>
          <w:szCs w:val="24"/>
        </w:rPr>
        <w:t xml:space="preserve"> lub pilotów </w:t>
      </w:r>
      <w:r w:rsidRPr="000E28C0">
        <w:rPr>
          <w:rFonts w:cs="Calibri"/>
          <w:sz w:val="24"/>
          <w:szCs w:val="24"/>
        </w:rPr>
        <w:t xml:space="preserve"> – co się wyda</w:t>
      </w:r>
      <w:r w:rsidR="00B4618B">
        <w:rPr>
          <w:rFonts w:cs="Calibri"/>
          <w:sz w:val="24"/>
          <w:szCs w:val="24"/>
        </w:rPr>
        <w:t>rz</w:t>
      </w:r>
      <w:r w:rsidRPr="000E28C0">
        <w:rPr>
          <w:rFonts w:cs="Calibri"/>
          <w:sz w:val="24"/>
          <w:szCs w:val="24"/>
        </w:rPr>
        <w:t xml:space="preserve">yło i </w:t>
      </w:r>
      <w:r w:rsidR="000E28C0">
        <w:rPr>
          <w:rFonts w:cs="Calibri"/>
          <w:sz w:val="24"/>
          <w:szCs w:val="24"/>
        </w:rPr>
        <w:t>m</w:t>
      </w:r>
      <w:r w:rsidRPr="000E28C0">
        <w:rPr>
          <w:rFonts w:cs="Calibri"/>
          <w:sz w:val="24"/>
          <w:szCs w:val="24"/>
        </w:rPr>
        <w:t>a potwierdzenie w dokumentacji.</w:t>
      </w:r>
    </w:p>
    <w:p w14:paraId="437F3052" w14:textId="157AE863" w:rsidR="00C82446" w:rsidRPr="000E28C0" w:rsidRDefault="00C82446" w:rsidP="009E7F80">
      <w:pPr>
        <w:pStyle w:val="Akapitzlist"/>
        <w:spacing w:line="360" w:lineRule="auto"/>
        <w:ind w:firstLine="696"/>
        <w:contextualSpacing/>
        <w:jc w:val="both"/>
        <w:rPr>
          <w:rFonts w:cs="Calibri"/>
          <w:sz w:val="24"/>
          <w:szCs w:val="24"/>
        </w:rPr>
      </w:pPr>
      <w:r w:rsidRPr="000E28C0">
        <w:rPr>
          <w:rFonts w:cs="Calibri"/>
          <w:sz w:val="24"/>
          <w:szCs w:val="24"/>
        </w:rPr>
        <w:t xml:space="preserve">Podkreślić należy, że wielu mieszkańców i zarządców nieruchomości przekazało Spółce </w:t>
      </w:r>
      <w:proofErr w:type="spellStart"/>
      <w:r w:rsidRPr="000E28C0">
        <w:rPr>
          <w:rFonts w:cs="Calibri"/>
          <w:sz w:val="24"/>
          <w:szCs w:val="24"/>
        </w:rPr>
        <w:t>Jarper</w:t>
      </w:r>
      <w:proofErr w:type="spellEnd"/>
      <w:r w:rsidRPr="000E28C0">
        <w:rPr>
          <w:rFonts w:cs="Calibri"/>
          <w:sz w:val="24"/>
          <w:szCs w:val="24"/>
        </w:rPr>
        <w:t xml:space="preserve"> kody, klucze lub piloty poza wiedzą oraz kontrolą gminy. </w:t>
      </w:r>
      <w:r w:rsidR="000E28C0">
        <w:rPr>
          <w:rFonts w:cs="Calibri"/>
          <w:sz w:val="24"/>
          <w:szCs w:val="24"/>
        </w:rPr>
        <w:t>I</w:t>
      </w:r>
      <w:r w:rsidRPr="000E28C0">
        <w:rPr>
          <w:rFonts w:cs="Calibri"/>
          <w:sz w:val="24"/>
          <w:szCs w:val="24"/>
        </w:rPr>
        <w:t>lość takich zdarzeń na obecnym etapie jest trudna do ustalenia</w:t>
      </w:r>
      <w:r w:rsidR="00B4618B">
        <w:rPr>
          <w:rFonts w:cs="Calibri"/>
          <w:sz w:val="24"/>
          <w:szCs w:val="24"/>
        </w:rPr>
        <w:t>,</w:t>
      </w:r>
      <w:r w:rsidRPr="000E28C0">
        <w:rPr>
          <w:rFonts w:cs="Calibri"/>
          <w:sz w:val="24"/>
          <w:szCs w:val="24"/>
        </w:rPr>
        <w:t xml:space="preserve"> z uwagi na czasookres działania poprzedniego </w:t>
      </w:r>
      <w:proofErr w:type="spellStart"/>
      <w:r w:rsidRPr="000E28C0">
        <w:rPr>
          <w:rFonts w:cs="Calibri"/>
          <w:sz w:val="24"/>
          <w:szCs w:val="24"/>
        </w:rPr>
        <w:t>oparatora</w:t>
      </w:r>
      <w:proofErr w:type="spellEnd"/>
      <w:r w:rsidRPr="000E28C0">
        <w:rPr>
          <w:rFonts w:cs="Calibri"/>
          <w:sz w:val="24"/>
          <w:szCs w:val="24"/>
        </w:rPr>
        <w:t xml:space="preserve"> tj. 7 lat.</w:t>
      </w:r>
    </w:p>
    <w:p w14:paraId="6879A971" w14:textId="5AD2DA94" w:rsidR="00B4618B" w:rsidRPr="00B4618B" w:rsidRDefault="00ED58D1" w:rsidP="00B4618B">
      <w:pPr>
        <w:pStyle w:val="Akapitzlist"/>
        <w:numPr>
          <w:ilvl w:val="0"/>
          <w:numId w:val="4"/>
        </w:numPr>
        <w:spacing w:line="360" w:lineRule="auto"/>
        <w:contextualSpacing/>
        <w:jc w:val="both"/>
        <w:rPr>
          <w:rFonts w:cs="Calibri"/>
          <w:sz w:val="24"/>
          <w:szCs w:val="24"/>
        </w:rPr>
      </w:pPr>
      <w:r w:rsidRPr="000E28C0">
        <w:rPr>
          <w:rFonts w:cs="Calibri"/>
          <w:sz w:val="24"/>
          <w:szCs w:val="24"/>
        </w:rPr>
        <w:t xml:space="preserve">Kontrole urzędników skupiały się głównie na ilości pojemników w altanach </w:t>
      </w:r>
      <w:r w:rsidR="00FF46AA">
        <w:rPr>
          <w:rFonts w:cs="Calibri"/>
          <w:sz w:val="24"/>
          <w:szCs w:val="24"/>
        </w:rPr>
        <w:br/>
      </w:r>
      <w:r w:rsidRPr="000E28C0">
        <w:rPr>
          <w:rFonts w:cs="Calibri"/>
          <w:sz w:val="24"/>
          <w:szCs w:val="24"/>
        </w:rPr>
        <w:t xml:space="preserve">i dostosowanie ich objętości do ilości mieszkańców. Same kontrole odbioru na chwilę obecną nie są konieczne, gdyż obecny operator udostępnia monitoring wizyjny </w:t>
      </w:r>
      <w:r w:rsidR="00FF46AA">
        <w:rPr>
          <w:rFonts w:cs="Calibri"/>
          <w:sz w:val="24"/>
          <w:szCs w:val="24"/>
        </w:rPr>
        <w:br/>
      </w:r>
      <w:r w:rsidRPr="000E28C0">
        <w:rPr>
          <w:rFonts w:cs="Calibri"/>
          <w:sz w:val="24"/>
          <w:szCs w:val="24"/>
        </w:rPr>
        <w:t xml:space="preserve">z każdego przejazdu. Więc </w:t>
      </w:r>
      <w:r w:rsidR="00401C3B">
        <w:rPr>
          <w:rFonts w:cs="Calibri"/>
          <w:sz w:val="24"/>
          <w:szCs w:val="24"/>
        </w:rPr>
        <w:t xml:space="preserve">standardowo </w:t>
      </w:r>
      <w:r w:rsidRPr="000E28C0">
        <w:rPr>
          <w:rFonts w:cs="Calibri"/>
          <w:sz w:val="24"/>
          <w:szCs w:val="24"/>
        </w:rPr>
        <w:t>ustalenie okoliczności zaistnienia sytuacji braku odbioru odpadów nie wymaga kontroli w terenie.</w:t>
      </w:r>
      <w:r w:rsidR="00B4618B">
        <w:rPr>
          <w:rFonts w:cs="Calibri"/>
          <w:sz w:val="24"/>
          <w:szCs w:val="24"/>
        </w:rPr>
        <w:t xml:space="preserve"> </w:t>
      </w:r>
      <w:r w:rsidR="00401C3B">
        <w:rPr>
          <w:rFonts w:cs="Calibri"/>
          <w:sz w:val="24"/>
          <w:szCs w:val="24"/>
        </w:rPr>
        <w:t>Mimo to</w:t>
      </w:r>
      <w:r w:rsidR="00B4618B">
        <w:rPr>
          <w:rFonts w:cs="Calibri"/>
          <w:sz w:val="24"/>
          <w:szCs w:val="24"/>
        </w:rPr>
        <w:t xml:space="preserve"> dodatkowo takie kontrole były przeprowadzane </w:t>
      </w:r>
      <w:r w:rsidR="00401C3B">
        <w:rPr>
          <w:rFonts w:cs="Calibri"/>
          <w:sz w:val="24"/>
          <w:szCs w:val="24"/>
        </w:rPr>
        <w:t xml:space="preserve">między innymi </w:t>
      </w:r>
      <w:r w:rsidR="00B4618B">
        <w:rPr>
          <w:rFonts w:cs="Calibri"/>
          <w:sz w:val="24"/>
          <w:szCs w:val="24"/>
        </w:rPr>
        <w:t xml:space="preserve">przez panią </w:t>
      </w:r>
      <w:r w:rsidR="00401C3B">
        <w:rPr>
          <w:rFonts w:cs="Calibri"/>
          <w:sz w:val="24"/>
          <w:szCs w:val="24"/>
        </w:rPr>
        <w:t>w</w:t>
      </w:r>
      <w:r w:rsidR="00B4618B">
        <w:rPr>
          <w:rFonts w:cs="Calibri"/>
          <w:sz w:val="24"/>
          <w:szCs w:val="24"/>
        </w:rPr>
        <w:t xml:space="preserve">ójt Martę Natalię Maciejak, </w:t>
      </w:r>
      <w:r w:rsidR="00401C3B">
        <w:rPr>
          <w:rFonts w:cs="Calibri"/>
          <w:sz w:val="24"/>
          <w:szCs w:val="24"/>
        </w:rPr>
        <w:t>z</w:t>
      </w:r>
      <w:r w:rsidR="00B4618B">
        <w:rPr>
          <w:rFonts w:cs="Calibri"/>
          <w:sz w:val="24"/>
          <w:szCs w:val="24"/>
        </w:rPr>
        <w:t xml:space="preserve">astępcę </w:t>
      </w:r>
      <w:r w:rsidR="00401C3B">
        <w:rPr>
          <w:rFonts w:cs="Calibri"/>
          <w:sz w:val="24"/>
          <w:szCs w:val="24"/>
        </w:rPr>
        <w:t>w</w:t>
      </w:r>
      <w:r w:rsidR="00B4618B">
        <w:rPr>
          <w:rFonts w:cs="Calibri"/>
          <w:sz w:val="24"/>
          <w:szCs w:val="24"/>
        </w:rPr>
        <w:t xml:space="preserve">ójta Marcina </w:t>
      </w:r>
      <w:proofErr w:type="spellStart"/>
      <w:r w:rsidR="00B4618B">
        <w:rPr>
          <w:rFonts w:cs="Calibri"/>
          <w:sz w:val="24"/>
          <w:szCs w:val="24"/>
        </w:rPr>
        <w:t>Szosta</w:t>
      </w:r>
      <w:proofErr w:type="spellEnd"/>
      <w:r w:rsidR="00401C3B">
        <w:rPr>
          <w:rFonts w:cs="Calibri"/>
          <w:sz w:val="24"/>
          <w:szCs w:val="24"/>
        </w:rPr>
        <w:t xml:space="preserve">, kierownika Referatu Odpadów Komunalnych Radosława Przygodzkiego, w celu weryfikacji zgłoszeń mieszkańców – co dotyczyło głównie tych Punktów Odbioru, które były początkowo niedostępne dla pracowników </w:t>
      </w:r>
      <w:r w:rsidR="00401C3B">
        <w:rPr>
          <w:rFonts w:cs="Calibri"/>
          <w:sz w:val="24"/>
          <w:szCs w:val="24"/>
        </w:rPr>
        <w:lastRenderedPageBreak/>
        <w:t>PUK Piaseczno (jak zamknięte osiedla) czy też nie były w ogóle wykazane w ewidencji. W wyniku tych kontroli zaktualizowano listę Punktów Odbioru oraz pozyskano dostępy do zamkniętych osiedli, w których PUK Piaseczno następnie dokonał odbioru odpadów poza wyznaczonym harmonogramem.</w:t>
      </w:r>
    </w:p>
    <w:p w14:paraId="6343FEFA" w14:textId="77777777" w:rsidR="002F54F4" w:rsidRDefault="002F54F4" w:rsidP="009E7F80">
      <w:pPr>
        <w:pStyle w:val="Akapitzlist"/>
        <w:numPr>
          <w:ilvl w:val="0"/>
          <w:numId w:val="4"/>
        </w:numPr>
        <w:spacing w:line="360" w:lineRule="auto"/>
        <w:contextualSpacing/>
        <w:jc w:val="both"/>
        <w:rPr>
          <w:rFonts w:cs="Calibri"/>
          <w:sz w:val="24"/>
          <w:szCs w:val="24"/>
        </w:rPr>
      </w:pPr>
      <w:r w:rsidRPr="00DA61F5">
        <w:rPr>
          <w:rFonts w:cs="Calibri"/>
          <w:sz w:val="24"/>
          <w:szCs w:val="24"/>
        </w:rPr>
        <w:t xml:space="preserve">Działaniami informacyjnymi skierowanymi do Mieszkańców, są ogłoszenia na stronie internetowej Urzędu Gminy, Gminnym Facebooku oraz poprzez dostarczenie </w:t>
      </w:r>
      <w:r w:rsidR="00FF28BD">
        <w:rPr>
          <w:rFonts w:cs="Calibri"/>
          <w:sz w:val="24"/>
          <w:szCs w:val="24"/>
        </w:rPr>
        <w:t xml:space="preserve">Mieszkańcom </w:t>
      </w:r>
      <w:r w:rsidRPr="00DA61F5">
        <w:rPr>
          <w:rFonts w:cs="Calibri"/>
          <w:sz w:val="24"/>
          <w:szCs w:val="24"/>
        </w:rPr>
        <w:t>harmonogramów</w:t>
      </w:r>
      <w:r w:rsidR="00366AA1">
        <w:rPr>
          <w:rFonts w:cs="Calibri"/>
          <w:sz w:val="24"/>
          <w:szCs w:val="24"/>
        </w:rPr>
        <w:t xml:space="preserve"> odbioru odpadów.</w:t>
      </w:r>
      <w:r w:rsidRPr="00DA61F5">
        <w:rPr>
          <w:rFonts w:cs="Calibri"/>
          <w:sz w:val="24"/>
          <w:szCs w:val="24"/>
        </w:rPr>
        <w:t xml:space="preserve"> Pracownicy Referatu udzielają informacji telefonicznie, jak również odpowiadając na</w:t>
      </w:r>
      <w:r w:rsidR="00366AA1">
        <w:rPr>
          <w:rFonts w:cs="Calibri"/>
          <w:sz w:val="24"/>
          <w:szCs w:val="24"/>
        </w:rPr>
        <w:t xml:space="preserve"> otrzymane</w:t>
      </w:r>
      <w:r w:rsidRPr="00DA61F5">
        <w:rPr>
          <w:rFonts w:cs="Calibri"/>
          <w:sz w:val="24"/>
          <w:szCs w:val="24"/>
        </w:rPr>
        <w:t xml:space="preserve"> wiadomości e-mail.</w:t>
      </w:r>
    </w:p>
    <w:p w14:paraId="4299B635" w14:textId="77777777" w:rsidR="00AC5323" w:rsidRPr="001244B0" w:rsidRDefault="001244B0" w:rsidP="009E7F80">
      <w:pPr>
        <w:pStyle w:val="Akapitzlist"/>
        <w:numPr>
          <w:ilvl w:val="0"/>
          <w:numId w:val="4"/>
        </w:numPr>
        <w:spacing w:line="36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color w:val="000000"/>
          <w:sz w:val="24"/>
          <w:szCs w:val="24"/>
        </w:rPr>
        <w:t>U</w:t>
      </w:r>
      <w:r w:rsidRPr="001244B0">
        <w:rPr>
          <w:rFonts w:cs="Calibri"/>
          <w:color w:val="000000"/>
          <w:sz w:val="24"/>
          <w:szCs w:val="24"/>
        </w:rPr>
        <w:t>staw</w:t>
      </w:r>
      <w:r>
        <w:rPr>
          <w:rFonts w:cs="Calibri"/>
          <w:color w:val="000000"/>
          <w:sz w:val="24"/>
          <w:szCs w:val="24"/>
        </w:rPr>
        <w:t>a</w:t>
      </w:r>
      <w:r w:rsidRPr="001244B0">
        <w:rPr>
          <w:rFonts w:cs="Calibri"/>
          <w:color w:val="000000"/>
          <w:sz w:val="24"/>
          <w:szCs w:val="24"/>
        </w:rPr>
        <w:t xml:space="preserve"> z dnia 13 września 1996 r. o utrzymaniu czystości i porządku w gminach </w:t>
      </w:r>
      <w:bookmarkStart w:id="2" w:name="_Hlk109727421"/>
      <w:r w:rsidRPr="001244B0">
        <w:rPr>
          <w:rFonts w:cs="Calibri"/>
          <w:color w:val="000000"/>
          <w:sz w:val="24"/>
          <w:szCs w:val="24"/>
        </w:rPr>
        <w:t>(Dz. U. z 2025 r., poz. 733</w:t>
      </w:r>
      <w:bookmarkEnd w:id="2"/>
      <w:r w:rsidRPr="001244B0">
        <w:rPr>
          <w:rFonts w:cs="Calibri"/>
          <w:color w:val="000000"/>
          <w:sz w:val="24"/>
          <w:szCs w:val="24"/>
        </w:rPr>
        <w:t>)</w:t>
      </w:r>
      <w:r>
        <w:rPr>
          <w:rFonts w:cs="Calibri"/>
          <w:color w:val="000000"/>
          <w:sz w:val="24"/>
          <w:szCs w:val="24"/>
        </w:rPr>
        <w:t xml:space="preserve"> nie przewiduje „planu awaryjnego”</w:t>
      </w:r>
      <w:r w:rsidR="00592A85">
        <w:rPr>
          <w:rFonts w:cs="Calibri"/>
          <w:color w:val="000000"/>
          <w:sz w:val="24"/>
          <w:szCs w:val="24"/>
        </w:rPr>
        <w:t xml:space="preserve">. </w:t>
      </w:r>
      <w:r w:rsidR="001D54B4">
        <w:rPr>
          <w:rFonts w:cs="Calibri"/>
          <w:color w:val="000000"/>
          <w:sz w:val="24"/>
          <w:szCs w:val="24"/>
        </w:rPr>
        <w:t>Wykonawc</w:t>
      </w:r>
      <w:r w:rsidR="00FA2119">
        <w:rPr>
          <w:rFonts w:cs="Calibri"/>
          <w:color w:val="000000"/>
          <w:sz w:val="24"/>
          <w:szCs w:val="24"/>
        </w:rPr>
        <w:t>y</w:t>
      </w:r>
      <w:r w:rsidR="001D54B4">
        <w:rPr>
          <w:rFonts w:cs="Calibri"/>
          <w:color w:val="000000"/>
          <w:sz w:val="24"/>
          <w:szCs w:val="24"/>
        </w:rPr>
        <w:t>, który zaprzestanie odbioru odpadów komunalnych i wypowie obowiązującą umowę grożą kary zawarte w przedmiotowej umowie.</w:t>
      </w:r>
    </w:p>
    <w:p w14:paraId="1DEFD816" w14:textId="77777777" w:rsidR="00325754" w:rsidRPr="001244B0" w:rsidRDefault="00325754" w:rsidP="009E7F80">
      <w:pPr>
        <w:spacing w:line="360" w:lineRule="auto"/>
        <w:jc w:val="both"/>
        <w:rPr>
          <w:rFonts w:eastAsia="Times New Roman" w:cs="Calibri"/>
          <w:b/>
          <w:color w:val="000000"/>
          <w:sz w:val="28"/>
          <w:szCs w:val="28"/>
          <w:lang w:eastAsia="pl-PL"/>
        </w:rPr>
      </w:pPr>
    </w:p>
    <w:p w14:paraId="15418CC0" w14:textId="77777777" w:rsidR="00AC5323" w:rsidRDefault="00AC5323" w:rsidP="009E7F80">
      <w:pPr>
        <w:spacing w:line="360" w:lineRule="auto"/>
        <w:jc w:val="both"/>
        <w:rPr>
          <w:rFonts w:ascii="Garamond" w:eastAsia="Times New Roman" w:hAnsi="Garamond"/>
          <w:b/>
          <w:color w:val="000000"/>
          <w:sz w:val="24"/>
          <w:szCs w:val="24"/>
          <w:lang w:eastAsia="pl-PL"/>
        </w:rPr>
      </w:pPr>
    </w:p>
    <w:p w14:paraId="0EC1638A" w14:textId="77777777" w:rsidR="00A120CE" w:rsidRDefault="00A120CE" w:rsidP="009E7F80">
      <w:pPr>
        <w:spacing w:line="360" w:lineRule="auto"/>
        <w:jc w:val="both"/>
        <w:rPr>
          <w:rFonts w:ascii="Garamond" w:eastAsia="Times New Roman" w:hAnsi="Garamond"/>
          <w:b/>
          <w:color w:val="000000"/>
          <w:sz w:val="24"/>
          <w:szCs w:val="24"/>
          <w:lang w:eastAsia="pl-PL"/>
        </w:rPr>
      </w:pPr>
    </w:p>
    <w:p w14:paraId="2C146B0B" w14:textId="77777777" w:rsidR="00A120CE" w:rsidRDefault="00A120CE" w:rsidP="009E7F80">
      <w:pPr>
        <w:spacing w:line="360" w:lineRule="auto"/>
        <w:ind w:left="6372" w:firstLine="708"/>
        <w:jc w:val="both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265B4A88" w14:textId="77777777" w:rsidR="00A120CE" w:rsidRDefault="00A120CE" w:rsidP="009E7F80">
      <w:pPr>
        <w:spacing w:line="360" w:lineRule="auto"/>
        <w:ind w:left="6372" w:firstLine="708"/>
        <w:jc w:val="both"/>
        <w:rPr>
          <w:rFonts w:eastAsia="Times New Roman" w:cs="Calibri"/>
          <w:bCs/>
          <w:color w:val="000000"/>
          <w:sz w:val="24"/>
          <w:szCs w:val="24"/>
          <w:lang w:eastAsia="pl-PL"/>
        </w:rPr>
      </w:pPr>
      <w:r w:rsidRPr="00A120CE">
        <w:rPr>
          <w:rFonts w:eastAsia="Times New Roman" w:cs="Calibri"/>
          <w:bCs/>
          <w:color w:val="000000"/>
          <w:sz w:val="24"/>
          <w:szCs w:val="24"/>
          <w:lang w:eastAsia="pl-PL"/>
        </w:rPr>
        <w:t>Z poważaniem</w:t>
      </w:r>
    </w:p>
    <w:p w14:paraId="17470C77" w14:textId="77777777" w:rsidR="00A120CE" w:rsidRDefault="00A120CE" w:rsidP="00492B78">
      <w:pPr>
        <w:spacing w:line="240" w:lineRule="auto"/>
        <w:ind w:left="6372" w:firstLine="708"/>
        <w:jc w:val="both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55B7F601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0709697A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5F7179F3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4E390EFF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0B33FEC2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5C5EE809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3DE4CCD3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47ED9EC3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7F47546B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0550991A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3B9FC16C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05F179CD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223F2D8A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08ED5CC6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4D3CD96D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0AF140CD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603C52AC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7A6E7C52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691F530E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413DCA2E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6CB49811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50763E0F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69763993" w14:textId="77777777" w:rsid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4722B43B" w14:textId="73B2E995" w:rsidR="00492B78" w:rsidRPr="00492B78" w:rsidRDefault="00492B78" w:rsidP="00492B78">
      <w:pPr>
        <w:spacing w:line="240" w:lineRule="auto"/>
        <w:rPr>
          <w:rFonts w:eastAsia="Times New Roman" w:cs="Calibri"/>
          <w:bCs/>
          <w:color w:val="000000"/>
          <w:sz w:val="18"/>
          <w:szCs w:val="18"/>
          <w:lang w:eastAsia="pl-PL"/>
        </w:rPr>
      </w:pPr>
      <w:r w:rsidRPr="00492B78">
        <w:rPr>
          <w:rFonts w:eastAsia="Times New Roman" w:cs="Calibri"/>
          <w:bCs/>
          <w:color w:val="000000"/>
          <w:sz w:val="18"/>
          <w:szCs w:val="18"/>
          <w:lang w:eastAsia="pl-PL"/>
        </w:rPr>
        <w:t>Otrzymują:</w:t>
      </w:r>
    </w:p>
    <w:p w14:paraId="768F4A1B" w14:textId="0D81D057" w:rsidR="00492B78" w:rsidRPr="00492B78" w:rsidRDefault="00492B78" w:rsidP="00492B78">
      <w:pPr>
        <w:pStyle w:val="Akapitzlist"/>
        <w:numPr>
          <w:ilvl w:val="0"/>
          <w:numId w:val="5"/>
        </w:numPr>
        <w:rPr>
          <w:rFonts w:cs="Calibri"/>
          <w:bCs/>
          <w:color w:val="000000"/>
          <w:sz w:val="18"/>
          <w:szCs w:val="18"/>
          <w:lang w:eastAsia="pl-PL"/>
        </w:rPr>
      </w:pPr>
      <w:r w:rsidRPr="00492B78">
        <w:rPr>
          <w:rFonts w:cs="Calibri"/>
          <w:bCs/>
          <w:color w:val="000000"/>
          <w:sz w:val="18"/>
          <w:szCs w:val="18"/>
          <w:lang w:eastAsia="pl-PL"/>
        </w:rPr>
        <w:t>Adresat,</w:t>
      </w:r>
    </w:p>
    <w:p w14:paraId="672A8DD7" w14:textId="323984B3" w:rsidR="00492B78" w:rsidRPr="00492B78" w:rsidRDefault="00492B78" w:rsidP="00492B78">
      <w:pPr>
        <w:pStyle w:val="Akapitzlist"/>
        <w:numPr>
          <w:ilvl w:val="0"/>
          <w:numId w:val="5"/>
        </w:numPr>
        <w:rPr>
          <w:rFonts w:cs="Calibri"/>
          <w:bCs/>
          <w:color w:val="000000"/>
          <w:sz w:val="18"/>
          <w:szCs w:val="18"/>
          <w:lang w:eastAsia="pl-PL"/>
        </w:rPr>
      </w:pPr>
      <w:r w:rsidRPr="00492B78">
        <w:rPr>
          <w:rFonts w:cs="Calibri"/>
          <w:bCs/>
          <w:color w:val="000000"/>
          <w:sz w:val="18"/>
          <w:szCs w:val="18"/>
          <w:lang w:eastAsia="pl-PL"/>
        </w:rPr>
        <w:t>A/a.</w:t>
      </w:r>
    </w:p>
    <w:sectPr w:rsidR="00492B78" w:rsidRPr="00492B78" w:rsidSect="004924F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D39E8"/>
    <w:multiLevelType w:val="hybridMultilevel"/>
    <w:tmpl w:val="8B72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031F6"/>
    <w:multiLevelType w:val="hybridMultilevel"/>
    <w:tmpl w:val="617E92FC"/>
    <w:lvl w:ilvl="0" w:tplc="41C20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7E55"/>
    <w:multiLevelType w:val="hybridMultilevel"/>
    <w:tmpl w:val="C422C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500CA"/>
    <w:multiLevelType w:val="hybridMultilevel"/>
    <w:tmpl w:val="50EE0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99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08001">
    <w:abstractNumId w:val="2"/>
  </w:num>
  <w:num w:numId="3" w16cid:durableId="211969130">
    <w:abstractNumId w:val="0"/>
  </w:num>
  <w:num w:numId="4" w16cid:durableId="207181073">
    <w:abstractNumId w:val="1"/>
  </w:num>
  <w:num w:numId="5" w16cid:durableId="95486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67"/>
    <w:rsid w:val="0003291D"/>
    <w:rsid w:val="0004226B"/>
    <w:rsid w:val="000A6C44"/>
    <w:rsid w:val="000B66D2"/>
    <w:rsid w:val="000E28C0"/>
    <w:rsid w:val="000E3CFD"/>
    <w:rsid w:val="001244B0"/>
    <w:rsid w:val="00136A62"/>
    <w:rsid w:val="001418BE"/>
    <w:rsid w:val="00173E33"/>
    <w:rsid w:val="00184BA0"/>
    <w:rsid w:val="001A262C"/>
    <w:rsid w:val="001A4A28"/>
    <w:rsid w:val="001D4C15"/>
    <w:rsid w:val="001D54B4"/>
    <w:rsid w:val="00207FB4"/>
    <w:rsid w:val="00214644"/>
    <w:rsid w:val="00232F44"/>
    <w:rsid w:val="00263569"/>
    <w:rsid w:val="00263DE4"/>
    <w:rsid w:val="002C1A63"/>
    <w:rsid w:val="002C2771"/>
    <w:rsid w:val="002C3F17"/>
    <w:rsid w:val="002D6D12"/>
    <w:rsid w:val="002E515D"/>
    <w:rsid w:val="002E6477"/>
    <w:rsid w:val="002F54F4"/>
    <w:rsid w:val="00325754"/>
    <w:rsid w:val="003330C3"/>
    <w:rsid w:val="0035348E"/>
    <w:rsid w:val="00366AA1"/>
    <w:rsid w:val="003C18C5"/>
    <w:rsid w:val="003D2933"/>
    <w:rsid w:val="003E6206"/>
    <w:rsid w:val="003F4639"/>
    <w:rsid w:val="00401C3B"/>
    <w:rsid w:val="00411143"/>
    <w:rsid w:val="00445950"/>
    <w:rsid w:val="00470D4C"/>
    <w:rsid w:val="0048440B"/>
    <w:rsid w:val="004924FB"/>
    <w:rsid w:val="00492B78"/>
    <w:rsid w:val="004D5CEF"/>
    <w:rsid w:val="004F1A0A"/>
    <w:rsid w:val="004F4766"/>
    <w:rsid w:val="005055BF"/>
    <w:rsid w:val="005149B4"/>
    <w:rsid w:val="00562EC4"/>
    <w:rsid w:val="005641E8"/>
    <w:rsid w:val="00592A85"/>
    <w:rsid w:val="005B321F"/>
    <w:rsid w:val="005C3797"/>
    <w:rsid w:val="005D5BF6"/>
    <w:rsid w:val="005D7432"/>
    <w:rsid w:val="005F1E57"/>
    <w:rsid w:val="00615EB1"/>
    <w:rsid w:val="00626897"/>
    <w:rsid w:val="00653E66"/>
    <w:rsid w:val="0068172E"/>
    <w:rsid w:val="00683EEF"/>
    <w:rsid w:val="006915C0"/>
    <w:rsid w:val="00696CAC"/>
    <w:rsid w:val="006D0156"/>
    <w:rsid w:val="006E0A63"/>
    <w:rsid w:val="006E1781"/>
    <w:rsid w:val="00736DAD"/>
    <w:rsid w:val="00777AAB"/>
    <w:rsid w:val="00786667"/>
    <w:rsid w:val="007C3A60"/>
    <w:rsid w:val="007C572D"/>
    <w:rsid w:val="007D5D2A"/>
    <w:rsid w:val="00815A03"/>
    <w:rsid w:val="0084533C"/>
    <w:rsid w:val="00853A89"/>
    <w:rsid w:val="008578F6"/>
    <w:rsid w:val="00896A65"/>
    <w:rsid w:val="00897D57"/>
    <w:rsid w:val="008E7A62"/>
    <w:rsid w:val="008F0F4D"/>
    <w:rsid w:val="008F6654"/>
    <w:rsid w:val="00902DA5"/>
    <w:rsid w:val="00914E55"/>
    <w:rsid w:val="00916C47"/>
    <w:rsid w:val="00922B8E"/>
    <w:rsid w:val="009272B5"/>
    <w:rsid w:val="00931774"/>
    <w:rsid w:val="009B404B"/>
    <w:rsid w:val="009E7F80"/>
    <w:rsid w:val="00A01D29"/>
    <w:rsid w:val="00A120CE"/>
    <w:rsid w:val="00A400BD"/>
    <w:rsid w:val="00A77CFB"/>
    <w:rsid w:val="00AC5323"/>
    <w:rsid w:val="00AD02F4"/>
    <w:rsid w:val="00B362ED"/>
    <w:rsid w:val="00B4618B"/>
    <w:rsid w:val="00B56881"/>
    <w:rsid w:val="00B70A68"/>
    <w:rsid w:val="00BF029A"/>
    <w:rsid w:val="00C47883"/>
    <w:rsid w:val="00C60D5A"/>
    <w:rsid w:val="00C82446"/>
    <w:rsid w:val="00C932B0"/>
    <w:rsid w:val="00CA3508"/>
    <w:rsid w:val="00D33927"/>
    <w:rsid w:val="00D41827"/>
    <w:rsid w:val="00DA61F5"/>
    <w:rsid w:val="00DF1969"/>
    <w:rsid w:val="00E00C58"/>
    <w:rsid w:val="00E2483F"/>
    <w:rsid w:val="00E43C6E"/>
    <w:rsid w:val="00E60110"/>
    <w:rsid w:val="00EA6BC8"/>
    <w:rsid w:val="00EC18F5"/>
    <w:rsid w:val="00ED2415"/>
    <w:rsid w:val="00ED58D1"/>
    <w:rsid w:val="00F50F28"/>
    <w:rsid w:val="00F67FD5"/>
    <w:rsid w:val="00F715EE"/>
    <w:rsid w:val="00F71A69"/>
    <w:rsid w:val="00FA2119"/>
    <w:rsid w:val="00FC4ABE"/>
    <w:rsid w:val="00FE3299"/>
    <w:rsid w:val="00FF28BD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F0CC"/>
  <w15:chartTrackingRefBased/>
  <w15:docId w15:val="{1814B3C9-FBEA-4BAA-B2AC-AA1906E9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72D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A28"/>
    <w:pPr>
      <w:spacing w:line="240" w:lineRule="auto"/>
      <w:ind w:left="720"/>
    </w:pPr>
    <w:rPr>
      <w:rFonts w:eastAsia="Times New Roman"/>
    </w:rPr>
  </w:style>
  <w:style w:type="character" w:styleId="Hipercze">
    <w:name w:val="Hyperlink"/>
    <w:uiPriority w:val="99"/>
    <w:unhideWhenUsed/>
    <w:rsid w:val="005055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515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F54F4"/>
    <w:rPr>
      <w:rFonts w:ascii="Aptos" w:eastAsia="Aptos" w:hAnsi="Aptos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F35E-18CE-41DA-8D63-8E82518F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Łukasz Gąsiorowski</cp:lastModifiedBy>
  <cp:revision>11</cp:revision>
  <cp:lastPrinted>2019-11-08T09:00:00Z</cp:lastPrinted>
  <dcterms:created xsi:type="dcterms:W3CDTF">2026-01-29T10:08:00Z</dcterms:created>
  <dcterms:modified xsi:type="dcterms:W3CDTF">2026-01-30T06:56:00Z</dcterms:modified>
</cp:coreProperties>
</file>